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outlineLvl w:val="0"/>
        <w:rPr>
          <w:rFonts w:ascii="Times New Roman" w:hAnsi="Times New Roma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4151630</wp:posOffset>
            </wp:positionH>
            <wp:positionV relativeFrom="paragraph">
              <wp:posOffset>-451485</wp:posOffset>
            </wp:positionV>
            <wp:extent cx="1068070" cy="1196340"/>
            <wp:effectExtent l="0" t="0" r="11430" b="10160"/>
            <wp:wrapSquare wrapText="bothSides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l="23166" t="9377" r="24843" b="12131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1196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numPr>
          <w:ilvl w:val="0"/>
          <w:numId w:val="0"/>
        </w:numPr>
        <w:jc w:val="right"/>
        <w:outlineLvl w:val="0"/>
        <w:rPr>
          <w:rFonts w:ascii="Times New Roman" w:hAnsi="Times New Roman"/>
        </w:rPr>
      </w:pPr>
    </w:p>
    <w:p>
      <w:pPr>
        <w:numPr>
          <w:ilvl w:val="0"/>
          <w:numId w:val="0"/>
        </w:numPr>
        <w:jc w:val="center"/>
        <w:outlineLvl w:val="0"/>
        <w:rPr>
          <w:rFonts w:ascii="Times New Roman" w:hAnsi="Times New Roman"/>
        </w:rPr>
      </w:pPr>
    </w:p>
    <w:p>
      <w:pPr>
        <w:numPr>
          <w:ilvl w:val="0"/>
          <w:numId w:val="0"/>
        </w:numPr>
        <w:jc w:val="center"/>
        <w:outlineLvl w:val="0"/>
        <w:rPr>
          <w:rFonts w:hint="eastAsia" w:ascii="Times New Roman" w:hAnsi="Times New Roman" w:eastAsia="楷体_GB2312"/>
          <w:b/>
          <w:bCs/>
          <w:spacing w:val="40"/>
          <w:sz w:val="96"/>
          <w:szCs w:val="96"/>
          <w:lang w:eastAsia="zh-CN"/>
        </w:rPr>
      </w:pPr>
    </w:p>
    <w:p>
      <w:pPr>
        <w:numPr>
          <w:ilvl w:val="0"/>
          <w:numId w:val="0"/>
        </w:numPr>
        <w:jc w:val="center"/>
        <w:outlineLvl w:val="0"/>
        <w:rPr>
          <w:rFonts w:ascii="Times New Roman" w:hAnsi="Times New Roman" w:eastAsia="楷体_GB2312"/>
          <w:b/>
          <w:bCs/>
          <w:spacing w:val="40"/>
          <w:sz w:val="96"/>
          <w:szCs w:val="96"/>
        </w:rPr>
      </w:pPr>
      <w:r>
        <w:rPr>
          <w:rFonts w:hint="eastAsia" w:ascii="Times New Roman" w:hAnsi="Times New Roman" w:eastAsia="楷体_GB2312"/>
          <w:b/>
          <w:bCs/>
          <w:spacing w:val="40"/>
          <w:sz w:val="96"/>
          <w:szCs w:val="96"/>
          <w:lang w:eastAsia="zh-CN"/>
        </w:rPr>
        <w:t>检</w:t>
      </w:r>
      <w:r>
        <w:rPr>
          <w:rFonts w:hint="eastAsia" w:ascii="Times New Roman" w:hAnsi="Times New Roman" w:eastAsia="楷体_GB2312"/>
          <w:b/>
          <w:bCs/>
          <w:spacing w:val="40"/>
          <w:sz w:val="96"/>
          <w:szCs w:val="96"/>
        </w:rPr>
        <w:t xml:space="preserve"> 测 报 告</w:t>
      </w:r>
    </w:p>
    <w:p>
      <w:pPr>
        <w:numPr>
          <w:ilvl w:val="0"/>
          <w:numId w:val="0"/>
        </w:numPr>
        <w:spacing w:line="240" w:lineRule="exact"/>
        <w:jc w:val="center"/>
        <w:outlineLvl w:val="0"/>
        <w:rPr>
          <w:rFonts w:ascii="Times New Roman" w:hAnsi="Times New Roman" w:eastAsia="楷体_GB2312"/>
          <w:b/>
          <w:bCs/>
          <w:sz w:val="96"/>
        </w:rPr>
      </w:pPr>
    </w:p>
    <w:p>
      <w:pPr>
        <w:numPr>
          <w:ilvl w:val="0"/>
          <w:numId w:val="0"/>
        </w:numPr>
        <w:jc w:val="center"/>
        <w:rPr>
          <w:rFonts w:ascii="Times New Roman" w:hAnsi="Times New Roman" w:eastAsia="楷体_GB2312"/>
          <w:i/>
          <w:iCs/>
          <w:sz w:val="44"/>
          <w:szCs w:val="44"/>
        </w:rPr>
      </w:pPr>
      <w:r>
        <w:rPr>
          <w:rFonts w:hint="eastAsia" w:ascii="Times New Roman" w:hAnsi="Times New Roman" w:eastAsia="楷体_GB2312"/>
          <w:i/>
          <w:iCs/>
          <w:sz w:val="44"/>
          <w:szCs w:val="44"/>
          <w:lang w:val="en-US" w:eastAsia="zh-CN"/>
        </w:rPr>
        <w:t>Testing</w:t>
      </w:r>
      <w:r>
        <w:rPr>
          <w:rFonts w:ascii="Times New Roman" w:hAnsi="Times New Roman" w:eastAsia="楷体_GB2312"/>
          <w:i/>
          <w:iCs/>
          <w:sz w:val="44"/>
          <w:szCs w:val="44"/>
        </w:rPr>
        <w:t xml:space="preserve">  Report</w:t>
      </w:r>
    </w:p>
    <w:p>
      <w:pPr>
        <w:numPr>
          <w:ilvl w:val="0"/>
          <w:numId w:val="0"/>
        </w:numPr>
        <w:ind w:firstLine="2100" w:firstLineChars="700"/>
        <w:rPr>
          <w:rFonts w:hint="eastAsia" w:ascii="Times New Roman" w:hAnsi="Times New Roman" w:eastAsia="楷体_GB2312"/>
          <w:sz w:val="30"/>
          <w:szCs w:val="30"/>
        </w:rPr>
      </w:pPr>
    </w:p>
    <w:p>
      <w:pPr>
        <w:numPr>
          <w:ilvl w:val="0"/>
          <w:numId w:val="0"/>
        </w:numPr>
        <w:jc w:val="center"/>
        <w:rPr>
          <w:rFonts w:ascii="Times New Roman" w:hAnsi="Times New Roman"/>
          <w:sz w:val="32"/>
          <w:szCs w:val="32"/>
        </w:rPr>
      </w:pPr>
      <w:bookmarkStart w:id="0" w:name="OLE_LINK4"/>
      <w:r>
        <w:rPr>
          <w:rFonts w:hint="eastAsia" w:ascii="Times New Roman" w:hAnsi="Times New Roman" w:eastAsia="楷体_GB2312"/>
          <w:sz w:val="32"/>
          <w:szCs w:val="32"/>
          <w:lang w:eastAsia="zh-CN"/>
        </w:rPr>
        <w:t>华标检</w:t>
      </w:r>
      <w:r>
        <w:rPr>
          <w:rFonts w:hint="eastAsia" w:ascii="Times New Roman" w:hAnsi="Times New Roman" w:eastAsia="楷体_GB2312"/>
          <w:sz w:val="32"/>
          <w:szCs w:val="32"/>
        </w:rPr>
        <w:t>（</w:t>
      </w:r>
      <w:r>
        <w:rPr>
          <w:rFonts w:ascii="Times New Roman" w:hAnsi="Times New Roman" w:eastAsia="楷体_GB2312"/>
          <w:sz w:val="32"/>
          <w:szCs w:val="32"/>
        </w:rPr>
        <w:t>20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楷体_GB2312"/>
          <w:sz w:val="32"/>
          <w:szCs w:val="32"/>
        </w:rPr>
        <w:t>）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H</w:t>
      </w:r>
      <w:r>
        <w:rPr>
          <w:rFonts w:hint="eastAsia" w:ascii="Times New Roman" w:hAnsi="Times New Roman" w:eastAsia="楷体_GB2312"/>
          <w:sz w:val="32"/>
          <w:szCs w:val="32"/>
        </w:rPr>
        <w:t>第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>05142-1</w:t>
      </w:r>
      <w:r>
        <w:rPr>
          <w:rFonts w:hint="eastAsia" w:ascii="Times New Roman" w:hAnsi="Times New Roman" w:eastAsia="楷体_GB2312"/>
          <w:sz w:val="32"/>
          <w:szCs w:val="32"/>
        </w:rPr>
        <w:t>号</w:t>
      </w:r>
    </w:p>
    <w:bookmarkEnd w:id="0"/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rPr>
          <w:rFonts w:hint="eastAsia" w:ascii="Times New Roman" w:hAnsi="Times New Roman"/>
        </w:rPr>
      </w:pPr>
    </w:p>
    <w:p>
      <w:pPr>
        <w:numPr>
          <w:ilvl w:val="0"/>
          <w:numId w:val="0"/>
        </w:numPr>
        <w:spacing w:line="240" w:lineRule="atLeast"/>
        <w:ind w:left="1600" w:hanging="1600" w:hangingChars="500"/>
        <w:rPr>
          <w:rFonts w:hint="eastAsia" w:ascii="Times New Roman" w:hAnsi="Times New Roman" w:eastAsia="楷体_GB2312"/>
          <w:sz w:val="15"/>
          <w:szCs w:val="15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       </w:t>
      </w:r>
      <w:r>
        <w:rPr>
          <w:rFonts w:hint="eastAsia" w:ascii="Times New Roman" w:hAnsi="Times New Roman" w:eastAsia="楷体_GB2312"/>
          <w:sz w:val="32"/>
          <w:szCs w:val="32"/>
        </w:rPr>
        <w:t xml:space="preserve">项 目 名 称 </w:t>
      </w:r>
      <w:r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  <w:t xml:space="preserve">          委托检测                   </w:t>
      </w: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    </w:t>
      </w:r>
    </w:p>
    <w:p>
      <w:pPr>
        <w:numPr>
          <w:ilvl w:val="0"/>
          <w:numId w:val="0"/>
        </w:numPr>
        <w:spacing w:line="240" w:lineRule="atLeast"/>
        <w:ind w:left="1600" w:hanging="1600" w:hangingChars="500"/>
        <w:rPr>
          <w:rFonts w:hint="eastAsia" w:ascii="Times New Roman" w:hAnsi="Times New Roman" w:eastAsia="楷体_GB2312"/>
          <w:sz w:val="32"/>
          <w:szCs w:val="32"/>
          <w:u w:val="single"/>
        </w:rPr>
      </w:pPr>
      <w:r>
        <w:rPr>
          <w:rFonts w:hint="eastAsia" w:ascii="Times New Roman" w:hAnsi="Times New Roman" w:eastAsia="楷体_GB2312"/>
          <w:sz w:val="32"/>
          <w:szCs w:val="32"/>
          <w:lang w:val="en-US" w:eastAsia="zh-CN"/>
        </w:rPr>
        <w:t xml:space="preserve">       </w:t>
      </w:r>
      <w:r>
        <w:rPr>
          <w:rFonts w:hint="eastAsia" w:ascii="Times New Roman" w:hAnsi="Times New Roman" w:eastAsia="楷体_GB2312"/>
          <w:sz w:val="32"/>
          <w:szCs w:val="32"/>
          <w:u w:val="none"/>
          <w:lang w:val="en-US" w:eastAsia="zh-CN"/>
        </w:rPr>
        <w:t xml:space="preserve">委 托 单 位 </w:t>
      </w:r>
      <w:r>
        <w:rPr>
          <w:rFonts w:hint="eastAsia" w:ascii="Times New Roman" w:hAnsi="Times New Roman" w:eastAsia="楷体_GB2312"/>
          <w:sz w:val="32"/>
          <w:szCs w:val="32"/>
          <w:u w:val="single"/>
          <w:lang w:val="en-US" w:eastAsia="zh-CN"/>
        </w:rPr>
        <w:t xml:space="preserve">    杭州统标检测科技有限公司                  </w:t>
      </w:r>
    </w:p>
    <w:p>
      <w:pPr>
        <w:numPr>
          <w:ilvl w:val="0"/>
          <w:numId w:val="0"/>
        </w:numPr>
        <w:spacing w:line="240" w:lineRule="atLeast"/>
        <w:ind w:left="1050" w:hanging="1050" w:hangingChars="500"/>
        <w:rPr>
          <w:rFonts w:hint="eastAsia" w:ascii="Times New Roman" w:hAnsi="Times New Roman" w:eastAsia="楷体_GB2312"/>
          <w:szCs w:val="21"/>
          <w:u w:val="single"/>
        </w:rPr>
      </w:pPr>
    </w:p>
    <w:p>
      <w:pPr>
        <w:numPr>
          <w:ilvl w:val="0"/>
          <w:numId w:val="0"/>
        </w:numPr>
        <w:ind w:left="1800" w:hanging="1800" w:hangingChars="500"/>
        <w:rPr>
          <w:rFonts w:ascii="Times New Roman" w:hAnsi="Times New Roman" w:eastAsia="楷体_GB2312"/>
          <w:sz w:val="36"/>
        </w:rPr>
      </w:pPr>
    </w:p>
    <w:p>
      <w:pPr>
        <w:numPr>
          <w:ilvl w:val="0"/>
          <w:numId w:val="0"/>
        </w:numPr>
        <w:ind w:left="1800" w:hanging="1800" w:hangingChars="500"/>
        <w:rPr>
          <w:rFonts w:ascii="Times New Roman" w:hAnsi="Times New Roman" w:eastAsia="楷体_GB2312"/>
          <w:sz w:val="36"/>
        </w:rPr>
      </w:pPr>
    </w:p>
    <w:p>
      <w:pPr>
        <w:numPr>
          <w:ilvl w:val="0"/>
          <w:numId w:val="0"/>
        </w:numPr>
        <w:jc w:val="both"/>
        <w:rPr>
          <w:rFonts w:hint="eastAsia" w:ascii="Times New Roman" w:hAnsi="Times New Roman" w:eastAsia="楷体_GB2312"/>
          <w:sz w:val="36"/>
        </w:rPr>
      </w:pPr>
    </w:p>
    <w:p>
      <w:pPr>
        <w:jc w:val="both"/>
        <w:rPr>
          <w:rFonts w:hint="eastAsia" w:ascii="Times New Roman" w:hAnsi="Times New Roman"/>
          <w:b/>
          <w:sz w:val="40"/>
          <w:lang w:eastAsia="zh-CN"/>
        </w:rPr>
      </w:pPr>
    </w:p>
    <w:p>
      <w:pPr>
        <w:jc w:val="both"/>
        <w:rPr>
          <w:rFonts w:hint="eastAsia" w:ascii="Times New Roman" w:hAnsi="Times New Roman"/>
          <w:b/>
          <w:sz w:val="40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黑体"/>
          <w:sz w:val="36"/>
          <w:szCs w:val="36"/>
        </w:rPr>
      </w:pPr>
      <w:r>
        <w:rPr>
          <w:rFonts w:hint="eastAsia" w:ascii="Times New Roman" w:hAnsi="Times New Roman" w:eastAsia="黑体"/>
          <w:sz w:val="36"/>
          <w:szCs w:val="36"/>
          <w:lang w:eastAsia="zh-CN"/>
        </w:rPr>
        <w:t>浙江华标检测技术</w:t>
      </w:r>
      <w:r>
        <w:rPr>
          <w:rFonts w:hint="eastAsia" w:ascii="Times New Roman" w:hAnsi="Times New Roman" w:eastAsia="黑体"/>
          <w:sz w:val="36"/>
          <w:szCs w:val="36"/>
        </w:rPr>
        <w:t>有限公司</w:t>
      </w:r>
    </w:p>
    <w:p/>
    <w:p/>
    <w:p>
      <w:pPr>
        <w:numPr>
          <w:ilvl w:val="0"/>
          <w:numId w:val="0"/>
        </w:numPr>
        <w:jc w:val="center"/>
        <w:rPr>
          <w:rFonts w:ascii="Times New Roman" w:hAnsi="Times New Roman" w:eastAsia="楷体_GB2312"/>
          <w:sz w:val="52"/>
        </w:rPr>
      </w:pPr>
      <w:r>
        <w:rPr>
          <w:rFonts w:hint="eastAsia" w:ascii="Times New Roman" w:hAnsi="Times New Roman" w:eastAsia="楷体_GB2312"/>
          <w:sz w:val="52"/>
        </w:rPr>
        <w:t>说   明</w:t>
      </w:r>
    </w:p>
    <w:p>
      <w:pPr>
        <w:numPr>
          <w:ilvl w:val="0"/>
          <w:numId w:val="0"/>
        </w:numPr>
        <w:rPr>
          <w:rFonts w:ascii="Times New Roman" w:hAnsi="Times New Roman"/>
          <w:sz w:val="44"/>
        </w:rPr>
      </w:pPr>
    </w:p>
    <w:p>
      <w:pPr>
        <w:pStyle w:val="4"/>
        <w:ind w:firstLine="640"/>
        <w:rPr>
          <w:rFonts w:hint="eastAsia" w:ascii="Times New Roman" w:hAnsi="Times New Roman"/>
          <w:sz w:val="32"/>
        </w:rPr>
      </w:pPr>
      <w:r>
        <w:rPr>
          <w:rFonts w:hint="eastAsia" w:ascii="Times New Roman" w:hAnsi="Times New Roman"/>
          <w:sz w:val="32"/>
        </w:rPr>
        <w:t>一、本报告无批准人签名，或涂改，或未加盖本</w:t>
      </w:r>
      <w:r>
        <w:rPr>
          <w:rFonts w:hint="eastAsia" w:ascii="Times New Roman" w:hAnsi="Times New Roman"/>
          <w:sz w:val="32"/>
          <w:lang w:eastAsia="zh-CN"/>
        </w:rPr>
        <w:t>公司</w:t>
      </w:r>
      <w:r>
        <w:rPr>
          <w:rFonts w:hint="eastAsia" w:ascii="Times New Roman" w:hAnsi="Times New Roman"/>
          <w:sz w:val="32"/>
        </w:rPr>
        <w:t>红色</w:t>
      </w:r>
      <w:r>
        <w:rPr>
          <w:rFonts w:hint="eastAsia" w:ascii="Times New Roman" w:hAnsi="Times New Roman"/>
          <w:sz w:val="32"/>
          <w:lang w:eastAsia="zh-CN"/>
        </w:rPr>
        <w:t>检</w:t>
      </w:r>
      <w:r>
        <w:rPr>
          <w:rFonts w:hint="eastAsia" w:ascii="Times New Roman" w:hAnsi="Times New Roman"/>
          <w:sz w:val="32"/>
        </w:rPr>
        <w:t>测报告专用章及其骑缝章均无效；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二、本报告部分复制，或完整复制后未加盖本</w:t>
      </w:r>
      <w:r>
        <w:rPr>
          <w:rFonts w:hint="eastAsia" w:ascii="Times New Roman" w:hAnsi="Times New Roman" w:eastAsia="楷体_GB2312"/>
          <w:sz w:val="32"/>
          <w:lang w:eastAsia="zh-CN"/>
        </w:rPr>
        <w:t>公司</w:t>
      </w:r>
      <w:r>
        <w:rPr>
          <w:rFonts w:hint="eastAsia" w:ascii="Times New Roman" w:hAnsi="Times New Roman" w:eastAsia="楷体_GB2312"/>
          <w:sz w:val="32"/>
        </w:rPr>
        <w:t>红色</w:t>
      </w:r>
      <w:r>
        <w:rPr>
          <w:rFonts w:hint="eastAsia" w:ascii="Times New Roman" w:hAnsi="Times New Roman" w:eastAsia="楷体_GB2312"/>
          <w:sz w:val="32"/>
          <w:lang w:eastAsia="zh-CN"/>
        </w:rPr>
        <w:t>检</w:t>
      </w:r>
      <w:r>
        <w:rPr>
          <w:rFonts w:hint="eastAsia" w:ascii="Times New Roman" w:hAnsi="Times New Roman" w:eastAsia="楷体_GB2312"/>
          <w:sz w:val="32"/>
        </w:rPr>
        <w:t>测报告专用章均无效；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三、未经同意本报告不得用于广告宣传；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四、由委托方采样送检的样品，本报告只对来样负责；</w:t>
      </w:r>
    </w:p>
    <w:p>
      <w:pPr>
        <w:numPr>
          <w:ilvl w:val="0"/>
          <w:numId w:val="0"/>
        </w:numPr>
        <w:ind w:firstLine="640" w:firstLineChars="200"/>
        <w:rPr>
          <w:rFonts w:hint="eastAsia" w:ascii="Times New Roman" w:hAnsi="Times New Roman" w:eastAsia="楷体_GB2312"/>
          <w:sz w:val="44"/>
        </w:rPr>
      </w:pPr>
      <w:r>
        <w:rPr>
          <w:rFonts w:hint="eastAsia" w:ascii="Times New Roman" w:hAnsi="Times New Roman" w:eastAsia="楷体_GB2312"/>
          <w:sz w:val="32"/>
        </w:rPr>
        <w:t>五、委托方若对本报告有异议，请于收到报告之日起十五个工作日内向</w:t>
      </w:r>
      <w:r>
        <w:rPr>
          <w:rFonts w:hint="eastAsia" w:ascii="Times New Roman" w:hAnsi="Times New Roman" w:eastAsia="楷体_GB2312"/>
          <w:sz w:val="32"/>
          <w:lang w:eastAsia="zh-CN"/>
        </w:rPr>
        <w:t>公司</w:t>
      </w:r>
      <w:r>
        <w:rPr>
          <w:rFonts w:hint="eastAsia" w:ascii="Times New Roman" w:hAnsi="Times New Roman" w:eastAsia="楷体_GB2312"/>
          <w:sz w:val="32"/>
        </w:rPr>
        <w:t>提出。</w:t>
      </w:r>
    </w:p>
    <w:p>
      <w:pPr>
        <w:numPr>
          <w:ilvl w:val="0"/>
          <w:numId w:val="0"/>
        </w:numPr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spacing w:line="240" w:lineRule="exact"/>
        <w:ind w:firstLine="880" w:firstLineChars="200"/>
        <w:rPr>
          <w:rFonts w:hint="eastAsia" w:ascii="Times New Roman" w:hAnsi="Times New Roman" w:eastAsia="楷体_GB2312"/>
          <w:sz w:val="44"/>
        </w:r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eastAsia="zh-CN"/>
        </w:rPr>
      </w:pPr>
      <w:r>
        <w:rPr>
          <w:rFonts w:hint="eastAsia" w:ascii="Times New Roman" w:hAnsi="Times New Roman" w:eastAsia="楷体_GB2312"/>
          <w:sz w:val="32"/>
          <w:lang w:eastAsia="zh-CN"/>
        </w:rPr>
        <w:t>浙江华标检测技术有限公司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地址：杭州市余杭区星桥街道</w:t>
      </w:r>
      <w:r>
        <w:rPr>
          <w:rFonts w:hint="eastAsia" w:ascii="Times New Roman" w:hAnsi="Times New Roman" w:eastAsia="楷体_GB2312"/>
          <w:sz w:val="32"/>
          <w:lang w:eastAsia="zh-CN"/>
        </w:rPr>
        <w:t>星桥北路</w:t>
      </w:r>
      <w:r>
        <w:rPr>
          <w:rFonts w:hint="eastAsia" w:ascii="Times New Roman" w:hAnsi="Times New Roman" w:eastAsia="楷体_GB2312"/>
          <w:sz w:val="32"/>
          <w:lang w:val="en-US" w:eastAsia="zh-CN"/>
        </w:rPr>
        <w:t>56号三楼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邮编：</w:t>
      </w:r>
      <w:r>
        <w:rPr>
          <w:rFonts w:hint="eastAsia" w:ascii="Times New Roman" w:hAnsi="Times New Roman"/>
          <w:sz w:val="32"/>
        </w:rPr>
        <w:t>311100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电话：0571-8629995</w:t>
      </w:r>
      <w:r>
        <w:rPr>
          <w:rFonts w:hint="eastAsia" w:ascii="Times New Roman" w:hAnsi="Times New Roman" w:eastAsia="楷体_GB2312"/>
          <w:sz w:val="32"/>
          <w:lang w:val="en-US" w:eastAsia="zh-CN"/>
        </w:rPr>
        <w:t>1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</w:rPr>
      </w:pPr>
      <w:r>
        <w:rPr>
          <w:rFonts w:hint="eastAsia" w:ascii="Times New Roman" w:hAnsi="Times New Roman" w:eastAsia="楷体_GB2312"/>
          <w:sz w:val="32"/>
        </w:rPr>
        <w:t>传真：0571-8629995</w:t>
      </w:r>
      <w:r>
        <w:rPr>
          <w:rFonts w:hint="eastAsia" w:ascii="Times New Roman" w:hAnsi="Times New Roman" w:eastAsia="楷体_GB2312"/>
          <w:sz w:val="32"/>
          <w:lang w:val="en-US" w:eastAsia="zh-CN"/>
        </w:rPr>
        <w:t>3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eastAsia="zh-CN"/>
        </w:rPr>
      </w:pPr>
      <w:r>
        <w:rPr>
          <w:rFonts w:hint="eastAsia" w:ascii="Times New Roman" w:hAnsi="Times New Roman" w:eastAsia="楷体_GB2312"/>
          <w:sz w:val="32"/>
          <w:lang w:eastAsia="zh-CN"/>
        </w:rPr>
        <w:t>邮箱：zhejianghuabiao@163.com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32"/>
          <w:lang w:eastAsia="zh-CN"/>
        </w:rPr>
      </w:pPr>
      <w:r>
        <w:rPr>
          <w:rFonts w:hint="eastAsia" w:ascii="Times New Roman" w:hAnsi="Times New Roman" w:eastAsia="楷体_GB2312"/>
          <w:sz w:val="32"/>
          <w:lang w:eastAsia="zh-CN"/>
        </w:rPr>
        <w:t>QQ：3349416427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  <w:sectPr>
          <w:head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  <w:sectPr>
          <w:headerReference r:id="rId4" w:type="default"/>
          <w:type w:val="continuous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  <w:sectPr>
          <w:headerReference r:id="rId5" w:type="default"/>
          <w:type w:val="continuous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</w:rPr>
        <w:t>样品类别</w:t>
      </w:r>
      <w:r>
        <w:rPr>
          <w:rFonts w:hint="eastAsia" w:ascii="Times New Roman" w:hAnsi="Times New Roman" w:eastAsia="楷体_GB2312"/>
          <w:color w:val="000000" w:themeColor="text1"/>
          <w:sz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土壤        </w:t>
      </w: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类别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委托检测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>委托单位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杭州统标检测科技有限公司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none"/>
          <w:lang w:eastAsia="zh-CN"/>
        </w:rPr>
      </w:pPr>
      <w:r>
        <w:rPr>
          <w:rFonts w:hint="eastAsia" w:ascii="Times New Roman" w:hAnsi="Times New Roman" w:eastAsia="楷体_GB2312"/>
          <w:sz w:val="24"/>
        </w:rPr>
        <w:t>地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  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 xml:space="preserve"> 址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浙江省杭州市滨江区长河街道滨安路688号2幢C楼5层502室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none"/>
          <w:lang w:eastAsia="zh-CN"/>
        </w:rPr>
        <w:t>受检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>单位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浙江春晖固废处理有限公司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</w:rPr>
        <w:t>地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  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 xml:space="preserve"> 址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浙江省绍兴市上虞区杭州湾上虞经济技术开发区振兴东段277号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委托日期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2021.04.01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                                  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</w:rPr>
        <w:t>采 样 方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浙江华标检测技术有限公司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>采</w:t>
      </w:r>
      <w:r>
        <w:rPr>
          <w:rFonts w:hint="eastAsia" w:ascii="Times New Roman" w:hAnsi="Times New Roman" w:eastAsia="楷体_GB2312"/>
          <w:sz w:val="24"/>
        </w:rPr>
        <w:t>样日期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2021.05.08   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eastAsia="zh-CN"/>
        </w:rPr>
      </w:pPr>
      <w:r>
        <w:rPr>
          <w:rFonts w:hint="eastAsia" w:ascii="Times New Roman" w:hAnsi="Times New Roman" w:eastAsia="楷体_GB2312"/>
          <w:sz w:val="24"/>
        </w:rPr>
        <w:t>采样</w:t>
      </w:r>
      <w:r>
        <w:rPr>
          <w:rFonts w:hint="eastAsia" w:ascii="Times New Roman" w:hAnsi="Times New Roman" w:eastAsia="楷体_GB2312"/>
          <w:sz w:val="24"/>
          <w:lang w:val="en-US" w:eastAsia="zh-CN"/>
        </w:rPr>
        <w:t>点位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浙江春晖固废处理有限公司综合水泵房、①号危废仓库、②号危废仓库、焚烧车间、灰渣处理车间、污水站土壤采样点           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地点</w:t>
      </w:r>
      <w:r>
        <w:rPr>
          <w:rFonts w:hint="eastAsia" w:ascii="Times New Roman" w:hAnsi="Times New Roman" w:eastAsia="楷体_GB2312"/>
          <w:sz w:val="24"/>
          <w:u w:val="single"/>
        </w:rPr>
        <w:tab/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现场及</w:t>
      </w:r>
      <w:r>
        <w:rPr>
          <w:rFonts w:hint="eastAsia" w:ascii="Times New Roman" w:hAnsi="Times New Roman" w:eastAsia="楷体_GB2312"/>
          <w:sz w:val="24"/>
          <w:u w:val="single"/>
          <w:lang w:eastAsia="zh-CN"/>
        </w:rPr>
        <w:t>本公司实验室</w:t>
      </w:r>
      <w:r>
        <w:rPr>
          <w:rFonts w:hint="eastAsia" w:ascii="Times New Roman" w:hAnsi="Times New Roman" w:eastAsia="楷体_GB2312"/>
          <w:sz w:val="24"/>
          <w:u w:val="single"/>
        </w:rPr>
        <w:tab/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</w:t>
      </w: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日期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2021.05.08~05.18                                         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  <w:lang w:eastAsia="zh-CN"/>
        </w:rPr>
        <w:t>检测</w:t>
      </w:r>
      <w:r>
        <w:rPr>
          <w:rFonts w:hint="eastAsia" w:ascii="Times New Roman" w:hAnsi="Times New Roman" w:eastAsia="楷体_GB2312"/>
          <w:sz w:val="24"/>
        </w:rPr>
        <w:t>方法依据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>铜  土壤和沉积物 铜、锌、 铅、镍、铬的测定 火焰原子吸收分光光度法 HJ 491-2019                                                                            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铅 土壤质量 铅、镉的测定 石墨炉原子吸收分光光度法 GB/T 17141-1997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铬 土壤和沉积物 铜、锌、 铅、镍、铬的测定 火焰原子吸收分光光度法 HJ 491-2019                                                                           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镉 土壤质量 铅、镉的测定 石墨炉原子吸收分光光度法 GB/T 17141-1997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总汞  土壤质量 总汞、总砷、总铅的测定原子荧光法 第 1 部分：土壤中总汞的测定 GB/T 22105.1-2008                                                   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总砷  土壤质量 总汞、总砷、总铅的测定 原子荧光法 第 2 部分：土壤中总砷的测定 GB/T 22105.2-2008                                                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镍  土壤和沉积物 铜、锌、 铅、镍、铬的测定 火焰原子吸收分光光度法 HJ 491-2019                                                                               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挥发性有机物 土壤和沉积物 挥发性有机物的测定 吹扫捕集/气相色谱-质谱法 HJ 605-2011                                                                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半挥发性有机物 土壤和沉积物 半挥发性有机物的测定 气相色谱-质谱法 HJ 834-2017                                                                                             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楷体_GB2312"/>
          <w:color w:val="auto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  苯胺 气相色谱-质谱法测定半挥发性有机物 美国环保局 EPA8270E-2018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color w:val="auto"/>
          <w:sz w:val="24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楷体_GB2312"/>
          <w:sz w:val="24"/>
          <w:u w:val="single"/>
        </w:rPr>
        <w:t>pH值 土壤 pH值的测定 电位法 HJ 962-2018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石油烃(C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  <w:lang w:val="en-US" w:eastAsia="zh-CN"/>
        </w:rPr>
        <w:t>10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>~C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  <w:lang w:val="en-US" w:eastAsia="zh-CN"/>
        </w:rPr>
        <w:t>40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>)  土壤中石油烃(C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  <w:lang w:val="en-US" w:eastAsia="zh-CN"/>
        </w:rPr>
        <w:t>10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>~C</w:t>
      </w:r>
      <w:r>
        <w:rPr>
          <w:rFonts w:hint="eastAsia" w:ascii="Times New Roman" w:hAnsi="Times New Roman" w:eastAsia="楷体_GB2312"/>
          <w:sz w:val="24"/>
          <w:u w:val="single"/>
          <w:vertAlign w:val="subscript"/>
          <w:lang w:val="en-US" w:eastAsia="zh-CN"/>
        </w:rPr>
        <w:t>40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)含量的测定气相色谱法ISO16703:2011                      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eastAsia="楷体_GB2312"/>
          <w:sz w:val="24"/>
          <w:u w:val="singl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多氯联苯 土壤和沉积物 多氯联苯的测定 气相色谱法-质谱法HJ 743-2015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64" w:lineRule="auto"/>
        <w:ind w:left="0" w:right="0"/>
        <w:jc w:val="both"/>
        <w:textAlignment w:val="auto"/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  <w:t>解释和说明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Times New Roman" w:hAnsi="Times New Roman" w:eastAsia="楷体_GB2312"/>
          <w:sz w:val="24"/>
          <w:szCs w:val="24"/>
          <w:vertAlign w:val="baseline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24"/>
          <w:szCs w:val="24"/>
          <w:lang w:val="en-US" w:eastAsia="zh-CN"/>
        </w:rPr>
        <w:t>①</w:t>
      </w:r>
      <w:r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  <w:t>：</w:t>
      </w:r>
      <w:r>
        <w:rPr>
          <w:rFonts w:hint="eastAsia" w:ascii="Times New Roman" w:hAnsi="Times New Roman" w:eastAsia="楷体_GB2312" w:cs="Times New Roman"/>
          <w:sz w:val="24"/>
          <w:szCs w:val="24"/>
          <w:lang w:eastAsia="zh-CN"/>
        </w:rPr>
        <w:t>2-氯苯酚别名：2-氯酚</w:t>
      </w:r>
      <w:r>
        <w:rPr>
          <w:rFonts w:hint="eastAsia" w:ascii="Times New Roman" w:hAnsi="Times New Roman" w:eastAsia="楷体_GB2312"/>
          <w:sz w:val="24"/>
          <w:szCs w:val="24"/>
          <w:vertAlign w:val="baseline"/>
          <w:lang w:val="en-US" w:eastAsia="zh-CN"/>
        </w:rPr>
        <w:t>。</w:t>
      </w:r>
    </w:p>
    <w:p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default" w:ascii="Times New Roman" w:hAnsi="Times New Roman" w:eastAsia="楷体_GB2312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_GB2312"/>
          <w:sz w:val="24"/>
          <w:szCs w:val="24"/>
          <w:vertAlign w:val="baseline"/>
          <w:lang w:val="en-US" w:eastAsia="zh-CN"/>
        </w:rPr>
        <w:t>②：</w:t>
      </w:r>
      <w:r>
        <w:rPr>
          <w:rFonts w:hint="eastAsia" w:ascii="Times New Roman" w:hAnsi="Times New Roman" w:eastAsia="楷体_GB2312"/>
          <w:sz w:val="24"/>
          <w:u w:val="none"/>
          <w:lang w:val="en-US" w:eastAsia="zh-CN"/>
        </w:rPr>
        <w:t>多</w:t>
      </w:r>
      <w:r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  <w:t>氯联苯总量为2,4,4’-三氯联苯、2,2’,5,5’-四氯联苯、2,2’,4,5,5’-五氯联苯、3,4,4’,5’-四氯联苯、3,3’,4,4’ -四氯联苯、2’,3,4,4’,5-五氯联苯、 2,3’,4,4’,5-五氯联苯、 2,3,4,4’,5-五氯联苯、</w:t>
      </w:r>
      <w:r>
        <w:rPr>
          <w:rFonts w:hint="default" w:ascii="Times New Roman" w:hAnsi="Times New Roman" w:eastAsia="楷体_GB2312" w:cs="Times New Roman"/>
          <w:sz w:val="24"/>
          <w:szCs w:val="24"/>
          <w:lang w:val="en-US" w:eastAsia="zh-CN"/>
        </w:rPr>
        <w:t>2,2’,4,4’,5,5’-</w:t>
      </w:r>
      <w:r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  <w:t>六氯联苯、</w:t>
      </w:r>
      <w:r>
        <w:rPr>
          <w:rFonts w:hint="default" w:ascii="Times New Roman" w:hAnsi="Times New Roman" w:eastAsia="楷体_GB2312" w:cs="Times New Roman"/>
          <w:sz w:val="24"/>
          <w:szCs w:val="24"/>
          <w:lang w:val="en-US" w:eastAsia="zh-CN"/>
        </w:rPr>
        <w:t>2,3,3’,4,4’-</w:t>
      </w:r>
      <w:r>
        <w:rPr>
          <w:rFonts w:hint="eastAsia" w:ascii="Times New Roman" w:hAnsi="Times New Roman" w:eastAsia="楷体_GB2312" w:cs="Times New Roman"/>
          <w:sz w:val="24"/>
          <w:szCs w:val="24"/>
          <w:lang w:val="en-US" w:eastAsia="zh-CN"/>
        </w:rPr>
        <w:t>五氯联苯、2,2’,3,4,4’,5’-六氯联苯、 3,3’,4,4’,5-五氯联苯、2,3’,4,4’,5,5’-六氯联苯、2,3,3’,4,4’,5’-六氯联苯、 2,3,3’,4,4’,5’-六氯联苯、 2,3,3’,4,4’,5’-六氯联苯、 2,2’,3,4,4’,5,5’-七氯联苯、3,3’,4,4’,5,5’-六氯联苯、 2,3,3’,4,4’,5,5’-七氯联苯之和。</w:t>
      </w:r>
    </w:p>
    <w:tbl>
      <w:tblPr>
        <w:tblStyle w:val="9"/>
        <w:tblpPr w:leftFromText="180" w:rightFromText="180" w:vertAnchor="text" w:horzAnchor="page" w:tblpX="1436" w:tblpY="284"/>
        <w:tblOverlap w:val="never"/>
        <w:tblW w:w="930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1202"/>
        <w:gridCol w:w="1549"/>
        <w:gridCol w:w="1549"/>
        <w:gridCol w:w="1549"/>
        <w:gridCol w:w="155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9300" w:type="dxa"/>
            <w:gridSpan w:val="6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ascii="楷体_GB2312" w:eastAsia="楷体_GB2312"/>
                <w:b/>
                <w:bCs/>
                <w:sz w:val="28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</w:rPr>
              <w:t>采样期间气象参数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="楷体_GB2312" w:eastAsia="楷体_GB2312"/>
                <w:sz w:val="24"/>
                <w:szCs w:val="24"/>
                <w:lang w:eastAsia="zh-CN"/>
              </w:rPr>
            </w:pPr>
            <w:r>
              <w:rPr>
                <w:rFonts w:hint="eastAsia" w:ascii="楷体_GB2312" w:eastAsia="楷体_GB2312"/>
                <w:sz w:val="24"/>
                <w:szCs w:val="24"/>
                <w:lang w:val="en-US" w:eastAsia="zh-CN"/>
              </w:rPr>
              <w:t>采样日期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风向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风速（m/s）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气温(℃)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气压(Kpa)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楷体_GB2312" w:eastAsia="楷体_GB2312"/>
                <w:sz w:val="24"/>
                <w:szCs w:val="24"/>
              </w:rPr>
            </w:pPr>
            <w:r>
              <w:rPr>
                <w:rFonts w:hint="eastAsia" w:ascii="楷体_GB2312" w:eastAsia="楷体_GB2312"/>
                <w:sz w:val="24"/>
                <w:szCs w:val="24"/>
              </w:rPr>
              <w:t>天气情况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897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2021.05.08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北风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2.1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20.1</w:t>
            </w:r>
          </w:p>
        </w:tc>
        <w:tc>
          <w:tcPr>
            <w:tcW w:w="1549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101.5</w:t>
            </w:r>
          </w:p>
        </w:tc>
        <w:tc>
          <w:tcPr>
            <w:tcW w:w="1554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晴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9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225"/>
        <w:gridCol w:w="1225"/>
        <w:gridCol w:w="1225"/>
        <w:gridCol w:w="1112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综合水泵房P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225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225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225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1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铜 mg/kg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铅 mg/kg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28.2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25.7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15.4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15.5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铬 mg/kg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77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砷 mg/kg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12.9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12.0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10.9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汞 mg/kg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0.243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0.193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0.101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0.108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镍 mg/kg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镉 mg/kg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0.107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0.077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0.093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0.058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四氯化碳 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氯仿 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氯甲烷 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顺-1,2-二氯乙烯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反-1,2-二氯乙烯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二氯甲烷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四氯乙烯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三氯乙烯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1,2,3-三氯丙烷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1,4-二氯苯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乙苯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间二甲苯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+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对二甲苯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邻二甲苯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2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9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2"/>
        <w:gridCol w:w="1142"/>
        <w:gridCol w:w="1142"/>
        <w:gridCol w:w="1143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综合水泵房P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43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硝基苯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苯胺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2-氯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酚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vertAlign w:val="superscript"/>
                <w:lang w:eastAsia="zh-CN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苯并[a]蒽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苯并[a]芘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苯并[b]荧蒽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苯并[k]荧蒽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䓛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二苯并[a, h]蒽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茚并[1,2,3-cd]芘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萘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pH值 无量纲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7.21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7.47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7.60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7.63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vertAlign w:val="superscript"/>
                <w:lang w:val="en-US" w:eastAsia="zh-CN"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g/kg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样品性状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9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①号危废仓库Q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27.9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22.0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19.3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13.6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0.348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0.170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0.134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0.144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0.075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0.079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0.093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0.057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顺-1,2-二氯乙烯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反-1,2-二氯乙烯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二氯甲烷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四氯乙烯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三氯乙烯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1,2,3-三氯丙烷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1,4-二氯苯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乙苯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间二甲苯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+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对二甲苯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邻二甲苯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9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①号危废仓库Q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2-氯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酚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vertAlign w:val="superscript"/>
                <w:lang w:eastAsia="zh-CN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7.78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7.90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8.20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8.63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vertAlign w:val="superscript"/>
                <w:lang w:val="en-US" w:eastAsia="zh-CN"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lang w:val="zh-CN" w:eastAsia="zh-CN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9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②号危废仓库R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26.7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26.7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20.2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20.6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56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14.1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12.8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0.253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0.171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0.195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0.142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0.060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0.077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0.070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0.063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顺-1,2-二氯乙烯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反-1,2-二氯乙烯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二氯甲烷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四氯乙烯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三氯乙烯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1,2,3-三氯丙烷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1,4-二氯苯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乙苯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间二甲苯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+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对二甲苯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邻二甲苯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9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②号危废仓库R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2-氯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酚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vertAlign w:val="superscript"/>
                <w:lang w:eastAsia="zh-CN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7.52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7.62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7.95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8.21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vertAlign w:val="superscript"/>
                <w:lang w:val="en-US" w:eastAsia="zh-CN"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lang w:val="zh-CN" w:eastAsia="zh-CN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9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焚烧车间S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24.7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29.6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29.0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23.0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15.5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13.2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11.8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0.239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0.170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0.136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0.142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0.108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0.055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0.067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0.066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顺-1,2-二氯乙烯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反-1,2-二氯乙烯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二氯甲烷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四氯乙烯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三氯乙烯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1,2,3-三氯丙烷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1,4-二氯苯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乙苯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间二甲苯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+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对二甲苯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邻二甲苯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9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焚烧车间S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2-氯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酚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vertAlign w:val="superscript"/>
                <w:lang w:eastAsia="zh-CN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7.46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7.70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7.78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8.14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vertAlign w:val="superscript"/>
                <w:lang w:val="en-US" w:eastAsia="zh-CN"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lang w:val="zh-CN" w:eastAsia="zh-CN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9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灰渣处理车间T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26.6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24.1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19.6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24.0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78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13.6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10.7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10.3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0.304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0.221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0.145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0.140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0.159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0.069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0.073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0.113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顺-1,2-二氯乙烯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反-1,2-二氯乙烯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二氯甲烷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四氯乙烯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三氯乙烯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1,2,3-三氯丙烷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1,4-二氯苯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乙苯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间二甲苯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+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对二甲苯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邻二甲苯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9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灰渣处理车间T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2-氯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酚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vertAlign w:val="superscript"/>
                <w:lang w:eastAsia="zh-CN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8.04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7.94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7.88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7.87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vertAlign w:val="superscript"/>
                <w:lang w:val="en-US" w:eastAsia="zh-CN"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lang w:val="zh-CN" w:eastAsia="zh-CN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>土  壤  检  测   结  果</w:t>
      </w:r>
    </w:p>
    <w:tbl>
      <w:tblPr>
        <w:tblStyle w:val="9"/>
        <w:tblW w:w="1020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777"/>
        <w:gridCol w:w="1196"/>
        <w:gridCol w:w="1196"/>
        <w:gridCol w:w="1196"/>
        <w:gridCol w:w="1199"/>
        <w:gridCol w:w="1113"/>
        <w:gridCol w:w="7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2777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787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污水站U</w:t>
            </w:r>
          </w:p>
        </w:tc>
        <w:tc>
          <w:tcPr>
            <w:tcW w:w="1113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70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2777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96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99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1113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2777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铜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铅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26.0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27.1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29.0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19.8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铬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76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 xml:space="preserve">75 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  <w:t>/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砷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13.7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12.8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12.0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汞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0.149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0.138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0.153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0.165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38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镍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 xml:space="preserve">29 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镉 mg/kg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0.074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0.064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0.084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0.065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65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四氯化碳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氯仿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氯甲烷 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37000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9000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顺-1,2-二氯乙烯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596000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反-1,2-二氯乙烯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二氯甲烷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616000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1,1,2,2-四氯乙烷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四氯乙烯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&lt;1.4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53000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1,1,1-三氯乙烷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840000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1,1,2-三氯乙烷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三氯乙烯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1,2,3-三氯丙烷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&lt;1.0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430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苯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&lt;1.9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  <w:t>4000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1,2-二氯苯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560000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1,4-二氯苯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&lt;1.5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乙苯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28000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苯乙烯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&lt;1.1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1290000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&lt;1.3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1200000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>间二甲苯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  <w:t>+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对二甲苯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570000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27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邻二甲苯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楷体_GB2312" w:cs="Times New Roman"/>
                <w:sz w:val="24"/>
                <w:szCs w:val="24"/>
                <w:lang w:eastAsia="zh-CN"/>
              </w:rPr>
              <w:t>μg/kg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9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&lt;1.2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640000</w:t>
            </w:r>
          </w:p>
        </w:tc>
        <w:tc>
          <w:tcPr>
            <w:tcW w:w="70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土  壤  检  测 </w:t>
      </w:r>
      <w:r>
        <w:rPr>
          <w:rFonts w:hint="eastAsia" w:ascii="Times New Roman" w:hAnsi="Times New Roman" w:eastAsia="楷体_GB2312"/>
          <w:b/>
          <w:bCs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楷体_GB2312"/>
          <w:b/>
          <w:bCs/>
          <w:sz w:val="32"/>
          <w:szCs w:val="32"/>
        </w:rPr>
        <w:t xml:space="preserve"> 结  果</w:t>
      </w:r>
    </w:p>
    <w:tbl>
      <w:tblPr>
        <w:tblStyle w:val="9"/>
        <w:tblW w:w="102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3124"/>
        <w:gridCol w:w="1141"/>
        <w:gridCol w:w="1141"/>
        <w:gridCol w:w="1142"/>
        <w:gridCol w:w="1145"/>
        <w:gridCol w:w="888"/>
        <w:gridCol w:w="83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  <w:jc w:val="center"/>
        </w:trPr>
        <w:tc>
          <w:tcPr>
            <w:tcW w:w="843" w:type="dxa"/>
            <w:vMerge w:val="restart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采样</w:t>
            </w: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eastAsia="zh-CN"/>
              </w:rPr>
              <w:t>日期</w:t>
            </w:r>
          </w:p>
        </w:tc>
        <w:tc>
          <w:tcPr>
            <w:tcW w:w="3124" w:type="dxa"/>
            <w:vMerge w:val="restart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righ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 xml:space="preserve">          采样点位</w:t>
            </w:r>
          </w:p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楷体_GB2312" w:cs="Times New Roman"/>
                <w:b/>
                <w:sz w:val="24"/>
                <w:szCs w:val="24"/>
              </w:rPr>
              <w:t>项目名称及单位</w:t>
            </w:r>
          </w:p>
        </w:tc>
        <w:tc>
          <w:tcPr>
            <w:tcW w:w="4569" w:type="dxa"/>
            <w:gridSpan w:val="4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污水站U</w:t>
            </w:r>
          </w:p>
        </w:tc>
        <w:tc>
          <w:tcPr>
            <w:tcW w:w="888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标准</w:t>
            </w:r>
          </w:p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限值</w:t>
            </w:r>
          </w:p>
        </w:tc>
        <w:tc>
          <w:tcPr>
            <w:tcW w:w="835" w:type="dxa"/>
            <w:vMerge w:val="restart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b/>
                <w:bCs/>
                <w:sz w:val="24"/>
                <w:szCs w:val="24"/>
                <w:lang w:val="en-US" w:eastAsia="zh-CN"/>
              </w:rPr>
              <w:t>达标评价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righ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3124" w:type="dxa"/>
            <w:vMerge w:val="continue"/>
            <w:tcBorders>
              <w:left w:val="single" w:color="auto" w:sz="6" w:space="0"/>
              <w:right w:val="single" w:color="auto" w:sz="6" w:space="0"/>
              <w:tl2br w:val="single" w:color="auto" w:sz="6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/>
                <w:sz w:val="24"/>
                <w:szCs w:val="24"/>
              </w:rPr>
            </w:pP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0-0.5m</w:t>
            </w:r>
          </w:p>
        </w:tc>
        <w:tc>
          <w:tcPr>
            <w:tcW w:w="1141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0.5-1.5m</w:t>
            </w:r>
          </w:p>
        </w:tc>
        <w:tc>
          <w:tcPr>
            <w:tcW w:w="1142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1.5-3.0m</w:t>
            </w:r>
          </w:p>
        </w:tc>
        <w:tc>
          <w:tcPr>
            <w:tcW w:w="1145" w:type="dxa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  <w:t>3.0-6.0m</w:t>
            </w:r>
          </w:p>
        </w:tc>
        <w:tc>
          <w:tcPr>
            <w:tcW w:w="888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835" w:type="dxa"/>
            <w:vMerge w:val="continue"/>
            <w:tcBorders>
              <w:left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楷体_GB2312" w:cs="Times New Roman"/>
                <w:b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2021.05.08</w:t>
            </w: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硝基苯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3124" w:type="dxa"/>
            <w:tcBorders>
              <w:top w:val="single" w:color="auto" w:sz="6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苯胺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2-氯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苯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酚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vertAlign w:val="superscript"/>
                <w:lang w:eastAsia="zh-CN"/>
              </w:rPr>
              <w:t>①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&lt;0.06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2256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苯并[a]芘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苯并[b]荧蒽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&lt;0.2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苯并[k]荧蒽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䓛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1293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二苯并[a, h]蒽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1.5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茚并[1,2,3-cd]芘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&lt;0.1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萘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&lt;0.09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pH值 无量纲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7.85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8.20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8.11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8.07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石油烃(C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~C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vertAlign w:val="subscript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楷体_GB2312"/>
                <w:sz w:val="24"/>
                <w:u w:val="none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mg/kg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4500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</w:rPr>
            </w:pPr>
          </w:p>
        </w:tc>
        <w:tc>
          <w:tcPr>
            <w:tcW w:w="312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多氯联苯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vertAlign w:val="superscript"/>
                <w:lang w:val="en-US" w:eastAsia="zh-CN" w:bidi="ar"/>
              </w:rPr>
              <w:t>②</w:t>
            </w:r>
            <w:r>
              <w:rPr>
                <w:rFonts w:hint="eastAsia" w:ascii="Times New Roman" w:hAnsi="Times New Roman" w:eastAsia="楷体_GB2312" w:cs="Times New Roman"/>
                <w:color w:val="auto"/>
                <w:kern w:val="2"/>
                <w:sz w:val="24"/>
                <w:szCs w:val="24"/>
                <w:lang w:val="en-US" w:eastAsia="zh-CN" w:bidi="ar"/>
              </w:rPr>
              <w:t>（总量）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μ</w:t>
            </w:r>
            <w:r>
              <w:rPr>
                <w:rFonts w:hint="eastAsia" w:ascii="Times New Roman" w:hAnsi="Times New Roman" w:eastAsia="楷体_GB2312" w:cs="Times New Roman"/>
                <w:sz w:val="24"/>
                <w:szCs w:val="24"/>
              </w:rPr>
              <w:t>g/kg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  <w:t>＜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0.4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380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kern w:val="2"/>
                <w:sz w:val="24"/>
                <w:szCs w:val="24"/>
                <w:lang w:val="en-US" w:eastAsia="zh-CN" w:bidi="ar-SA"/>
              </w:rPr>
              <w:t>达标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39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eastAsia="zh-CN"/>
              </w:rPr>
              <w:t>样品性状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11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灰色，固体</w:t>
            </w:r>
          </w:p>
        </w:tc>
        <w:tc>
          <w:tcPr>
            <w:tcW w:w="88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3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楷体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_GB2312" w:cs="Times New Roman"/>
                <w:sz w:val="24"/>
                <w:szCs w:val="24"/>
                <w:lang w:val="en-US" w:eastAsia="zh-CN"/>
              </w:rPr>
              <w:t>/</w:t>
            </w:r>
          </w:p>
        </w:tc>
      </w:tr>
    </w:tbl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spacing w:line="360" w:lineRule="auto"/>
        <w:jc w:val="center"/>
        <w:rPr>
          <w:rFonts w:hint="eastAsia" w:ascii="Times New Roman" w:hAnsi="Times New Roman" w:eastAsia="楷体_GB2312"/>
          <w:b/>
          <w:bCs/>
          <w:sz w:val="32"/>
          <w:szCs w:val="32"/>
        </w:rPr>
      </w:pP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lang w:val="zh-CN" w:eastAsia="zh-CN"/>
        </w:rPr>
      </w:pPr>
    </w:p>
    <w:tbl>
      <w:tblPr>
        <w:tblStyle w:val="9"/>
        <w:tblpPr w:leftFromText="180" w:rightFromText="180" w:vertAnchor="text" w:horzAnchor="page" w:tblpXSpec="center" w:tblpY="148"/>
        <w:tblOverlap w:val="never"/>
        <w:tblW w:w="8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8840" w:type="dxa"/>
            <w:tcBorders>
              <w:tl2br w:val="nil"/>
              <w:tr2bl w:val="nil"/>
            </w:tcBorders>
            <w:vAlign w:val="top"/>
          </w:tcPr>
          <w:p>
            <w:pPr>
              <w:spacing w:line="360" w:lineRule="auto"/>
              <w:rPr>
                <w:rFonts w:hint="eastAsia" w:ascii="Times New Roman" w:hAnsi="Times New Roman" w:eastAsia="楷体_GB2312"/>
                <w:sz w:val="24"/>
                <w:u w:val="single"/>
                <w:vertAlign w:val="baseline"/>
              </w:rPr>
            </w:pPr>
            <w:r>
              <w:rPr>
                <w:rFonts w:hint="eastAsia" w:ascii="楷体_GB2312" w:eastAsia="楷体_GB2312"/>
                <w:b/>
                <w:bCs/>
                <w:sz w:val="28"/>
                <w:szCs w:val="28"/>
              </w:rPr>
              <w:t>测量点位和周围环境情况说明：</w:t>
            </w:r>
          </w:p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drawing>
                <wp:inline distT="0" distB="0" distL="114300" distR="114300">
                  <wp:extent cx="5471160" cy="3869055"/>
                  <wp:effectExtent l="0" t="0" r="15240" b="17145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1160" cy="386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1" w:name="_GoBack"/>
            <w:bookmarkEnd w:id="1"/>
          </w:p>
          <w:p>
            <w:pPr>
              <w:numPr>
                <w:ilvl w:val="0"/>
                <w:numId w:val="0"/>
              </w:numPr>
              <w:rPr>
                <w:rFonts w:hint="eastAsia" w:ascii="Times New Roman" w:hAnsi="Times New Roman" w:eastAsia="楷体_GB2312"/>
                <w:sz w:val="24"/>
                <w:u w:val="single"/>
                <w:vertAlign w:val="baseline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注：□为土壤采样点。</w:t>
            </w:r>
          </w:p>
        </w:tc>
      </w:tr>
    </w:tbl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vertAlign w:val="baseline"/>
          <w:lang w:val="en-US" w:eastAsia="zh-CN"/>
        </w:rPr>
      </w:pPr>
      <w:r>
        <w:rPr>
          <w:rFonts w:hint="eastAsia" w:ascii="Times New Roman" w:hAnsi="Times New Roman" w:eastAsia="楷体_GB2312"/>
          <w:sz w:val="24"/>
          <w:lang w:val="zh-CN" w:eastAsia="zh-CN"/>
        </w:rPr>
        <w:t>附图</w:t>
      </w:r>
      <w:r>
        <w:rPr>
          <w:rFonts w:hint="eastAsia" w:ascii="Times New Roman" w:hAnsi="Times New Roman" w:eastAsia="楷体_GB2312"/>
          <w:sz w:val="24"/>
          <w:lang w:val="en-US" w:eastAsia="zh-CN"/>
        </w:rPr>
        <w:t>1</w:t>
      </w:r>
      <w:r>
        <w:rPr>
          <w:rFonts w:hint="eastAsia" w:ascii="Times New Roman" w:hAnsi="Times New Roman" w:eastAsia="楷体_GB2312"/>
          <w:color w:val="000000" w:themeColor="text1"/>
          <w:sz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土壤</w:t>
      </w:r>
      <w:r>
        <w:rPr>
          <w:rFonts w:hint="eastAsia" w:ascii="Times New Roman" w:hAnsi="Times New Roman" w:eastAsia="楷体_GB2312"/>
          <w:sz w:val="24"/>
          <w:lang w:val="zh-CN" w:eastAsia="zh-CN"/>
        </w:rPr>
        <w:t>现状调查点位</w:t>
      </w:r>
    </w:p>
    <w:p>
      <w:pPr>
        <w:numPr>
          <w:ilvl w:val="0"/>
          <w:numId w:val="0"/>
        </w:numPr>
        <w:jc w:val="center"/>
        <w:rPr>
          <w:rFonts w:hint="eastAsia" w:ascii="Times New Roman" w:hAnsi="Times New Roman" w:eastAsia="楷体_GB2312"/>
          <w:sz w:val="24"/>
          <w:lang w:val="zh-CN" w:eastAsia="zh-CN"/>
        </w:rPr>
      </w:pPr>
      <w:r>
        <w:rPr>
          <w:rFonts w:hint="eastAsia" w:ascii="Times New Roman" w:hAnsi="Times New Roman" w:eastAsia="楷体_GB2312"/>
          <w:color w:val="000000" w:themeColor="text1"/>
          <w:sz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土壤</w:t>
      </w:r>
      <w:r>
        <w:rPr>
          <w:rFonts w:hint="eastAsia" w:ascii="Times New Roman" w:hAnsi="Times New Roman" w:eastAsia="楷体_GB2312"/>
          <w:sz w:val="24"/>
          <w:lang w:val="zh-CN" w:eastAsia="zh-CN"/>
        </w:rPr>
        <w:t>现状调查点位经纬度表</w:t>
      </w:r>
    </w:p>
    <w:tbl>
      <w:tblPr>
        <w:tblStyle w:val="9"/>
        <w:tblW w:w="941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2364"/>
        <w:gridCol w:w="2364"/>
        <w:gridCol w:w="245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采样点名称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经度（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）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纬度（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N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）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调查项目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综合水泵房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120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53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32.88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29.67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①号危废仓库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120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53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34.64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30.10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②号危废仓库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120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53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37.69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30.50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焚烧车间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120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53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35.78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28.51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灰渣处理车间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120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53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32.57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27.57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23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污水站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120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53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40.13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°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′</w:t>
            </w: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28.57</w:t>
            </w: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″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center"/>
              <w:rPr>
                <w:rFonts w:hint="eastAsia" w:ascii="Times New Roman" w:hAnsi="Times New Roman" w:eastAsia="楷体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en-US" w:eastAsia="zh-CN"/>
              </w:rPr>
              <w:t>土壤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1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jc w:val="left"/>
              <w:rPr>
                <w:rFonts w:hint="eastAsia" w:ascii="Times New Roman" w:hAnsi="Times New Roman" w:eastAsia="楷体_GB2312"/>
                <w:sz w:val="24"/>
                <w:lang w:val="zh-CN" w:eastAsia="zh-CN"/>
              </w:rPr>
            </w:pPr>
            <w:r>
              <w:rPr>
                <w:rFonts w:hint="eastAsia" w:ascii="Times New Roman" w:hAnsi="Times New Roman" w:eastAsia="楷体_GB2312"/>
                <w:sz w:val="24"/>
                <w:lang w:val="zh-CN" w:eastAsia="zh-CN"/>
              </w:rPr>
              <w:t>注：以上经纬度数据仅作参考，具体数据以相关部门为准。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47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eastAsia" w:ascii="Times New Roman" w:hAnsi="Times New Roman" w:eastAsia="楷体_GB2312"/>
          <w:color w:val="FF0000"/>
          <w:sz w:val="24"/>
          <w:u w:val="none"/>
          <w:lang w:val="en-US" w:eastAsia="zh-CN"/>
        </w:rPr>
      </w:pPr>
      <w:r>
        <w:rPr>
          <w:rFonts w:hint="eastAsia" w:ascii="Times New Roman" w:hAnsi="Times New Roman" w:eastAsia="楷体_GB2312"/>
          <w:sz w:val="24"/>
          <w:u w:val="none"/>
        </w:rPr>
        <w:t>工况：工厂在</w:t>
      </w:r>
      <w:r>
        <w:rPr>
          <w:rFonts w:hint="eastAsia" w:ascii="Times New Roman" w:hAnsi="Times New Roman" w:eastAsia="楷体_GB2312"/>
          <w:sz w:val="24"/>
          <w:u w:val="none"/>
          <w:lang w:eastAsia="zh-CN"/>
        </w:rPr>
        <w:t>正常</w:t>
      </w:r>
      <w:r>
        <w:rPr>
          <w:rFonts w:hint="eastAsia" w:ascii="Times New Roman" w:hAnsi="Times New Roman" w:eastAsia="楷体_GB2312"/>
          <w:sz w:val="24"/>
          <w:u w:val="none"/>
        </w:rPr>
        <w:t>生产的情况下开展的检测工作</w:t>
      </w:r>
      <w:r>
        <w:rPr>
          <w:rFonts w:hint="eastAsia" w:ascii="Times New Roman" w:hAnsi="Times New Roman" w:eastAsia="楷体_GB2312"/>
          <w:sz w:val="24"/>
          <w:u w:val="none"/>
          <w:lang w:eastAsia="zh-CN"/>
        </w:rPr>
        <w:t>。</w:t>
      </w:r>
    </w:p>
    <w:p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楷体_GB2312"/>
          <w:sz w:val="24"/>
          <w:u w:val="single"/>
        </w:rPr>
      </w:pPr>
      <w:r>
        <w:rPr>
          <w:rFonts w:hint="eastAsia" w:ascii="Times New Roman" w:hAnsi="Times New Roman" w:eastAsia="楷体_GB2312"/>
          <w:sz w:val="24"/>
          <w:u w:val="single"/>
        </w:rPr>
        <w:t xml:space="preserve">     </w:t>
      </w:r>
      <w:r>
        <w:rPr>
          <w:rFonts w:hint="eastAsia" w:ascii="Times New Roman" w:hAnsi="Times New Roman" w:eastAsia="楷体_GB2312"/>
          <w:sz w:val="24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/>
          <w:sz w:val="24"/>
          <w:u w:val="single"/>
        </w:rPr>
        <w:t xml:space="preserve">      </w:t>
      </w:r>
    </w:p>
    <w:p>
      <w:pPr>
        <w:numPr>
          <w:ilvl w:val="0"/>
          <w:numId w:val="0"/>
        </w:numPr>
        <w:spacing w:line="240" w:lineRule="auto"/>
        <w:rPr>
          <w:rFonts w:hint="eastAsia" w:ascii="Times New Roman" w:hAnsi="Times New Roman" w:eastAsia="楷体_GB2312"/>
          <w:sz w:val="24"/>
        </w:rPr>
      </w:pPr>
      <w:r>
        <w:rPr>
          <w:rFonts w:hint="eastAsia" w:ascii="Times New Roman" w:hAnsi="Times New Roman" w:eastAsia="楷体_GB2312"/>
          <w:sz w:val="24"/>
        </w:rPr>
        <w:t>报告编制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    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 xml:space="preserve">       校核 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</w:rPr>
        <w:t xml:space="preserve">                        审核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</w:p>
    <w:p>
      <w:pPr>
        <w:numPr>
          <w:ilvl w:val="0"/>
          <w:numId w:val="0"/>
        </w:numPr>
        <w:rPr>
          <w:rFonts w:hint="eastAsia" w:ascii="Times New Roman" w:hAnsi="Times New Roman" w:eastAsia="楷体_GB2312"/>
          <w:sz w:val="24"/>
        </w:rPr>
      </w:pPr>
    </w:p>
    <w:p>
      <w:pPr>
        <w:numPr>
          <w:ilvl w:val="0"/>
          <w:numId w:val="0"/>
        </w:numPr>
      </w:pPr>
      <w:r>
        <w:rPr>
          <w:rFonts w:hint="eastAsia" w:ascii="Times New Roman" w:hAnsi="Times New Roman" w:eastAsia="楷体_GB2312"/>
          <w:sz w:val="24"/>
        </w:rPr>
        <w:t>批准人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  <w:r>
        <w:rPr>
          <w:rFonts w:hint="eastAsia" w:ascii="Times New Roman" w:hAnsi="Times New Roman" w:eastAsia="楷体_GB2312"/>
          <w:sz w:val="24"/>
        </w:rPr>
        <w:tab/>
      </w:r>
      <w:r>
        <w:rPr>
          <w:rFonts w:hint="eastAsia" w:ascii="Times New Roman" w:hAnsi="Times New Roman" w:eastAsia="楷体_GB2312"/>
          <w:sz w:val="24"/>
        </w:rPr>
        <w:t xml:space="preserve">              批准</w:t>
      </w:r>
      <w:r>
        <w:rPr>
          <w:rFonts w:ascii="Times New Roman" w:hAnsi="Times New Roman" w:eastAsia="楷体_GB2312"/>
          <w:sz w:val="24"/>
        </w:rPr>
        <w:t>人</w:t>
      </w:r>
      <w:r>
        <w:rPr>
          <w:rFonts w:hint="eastAsia" w:ascii="Times New Roman" w:hAnsi="Times New Roman" w:eastAsia="楷体_GB2312"/>
          <w:sz w:val="24"/>
        </w:rPr>
        <w:t xml:space="preserve">职务/职称 </w:t>
      </w:r>
      <w:r>
        <w:rPr>
          <w:rFonts w:hint="eastAsia" w:ascii="Times New Roman" w:hAnsi="Times New Roman" w:eastAsia="楷体_GB2312"/>
          <w:sz w:val="24"/>
          <w:lang w:eastAsia="zh-CN"/>
        </w:rPr>
        <w:t>：授权签字人</w:t>
      </w:r>
      <w:r>
        <w:rPr>
          <w:rFonts w:hint="eastAsia" w:ascii="Times New Roman" w:hAnsi="Times New Roman" w:eastAsia="楷体_GB2312"/>
          <w:sz w:val="24"/>
        </w:rPr>
        <w:t xml:space="preserve">  </w:t>
      </w:r>
      <w:r>
        <w:rPr>
          <w:rFonts w:hint="eastAsia" w:ascii="Times New Roman" w:hAnsi="Times New Roman" w:eastAsia="楷体_GB2312"/>
          <w:sz w:val="24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4"/>
        </w:rPr>
        <w:t>批准日期</w:t>
      </w:r>
      <w:r>
        <w:rPr>
          <w:rFonts w:hint="eastAsia" w:ascii="Times New Roman" w:hAnsi="Times New Roman" w:eastAsia="楷体_GB2312"/>
          <w:sz w:val="24"/>
          <w:lang w:eastAsia="zh-CN"/>
        </w:rPr>
        <w:t>：</w:t>
      </w:r>
    </w:p>
    <w:sectPr>
      <w:headerReference r:id="rId6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</w:p>
  <w:p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u w:val="single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u w:val="single"/>
        <w:lang w:val="en-US" w:eastAsia="zh-CN"/>
      </w:rPr>
      <w:t>华标检（2016）H第09036号</w:t>
    </w:r>
    <w:r>
      <w:rPr>
        <w:rFonts w:hint="eastAsia" w:eastAsia="宋体"/>
        <w:u w:val="single"/>
        <w:lang w:val="en-US" w:eastAsia="zh-CN"/>
      </w:rPr>
      <w:t xml:space="preserve">                                                      第2页共2页</w:t>
    </w:r>
  </w:p>
  <w:p>
    <w:pPr>
      <w:pStyle w:val="7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</w:p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u w:val="single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u w:val="single"/>
        <w:lang w:val="en-US" w:eastAsia="zh-CN"/>
      </w:rPr>
      <w:t>华标检（2016）H第10010号</w:t>
    </w:r>
    <w:r>
      <w:rPr>
        <w:rFonts w:hint="eastAsia" w:eastAsia="宋体"/>
        <w:u w:val="single"/>
        <w:lang w:val="en-US" w:eastAsia="zh-CN"/>
      </w:rPr>
      <w:t xml:space="preserve">                                                      第  页共2页</w:t>
    </w:r>
  </w:p>
  <w:p>
    <w:pPr>
      <w:pStyle w:val="7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</w:p>
  <w:p>
    <w:pPr>
      <w:pStyle w:val="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  <w:rPr>
        <w:rFonts w:hint="eastAsia" w:eastAsia="宋体"/>
        <w:u w:val="single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val="en-US" w:eastAsia="zh-CN"/>
                            </w:rPr>
                            <w:t>14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val="en-US" w:eastAsia="zh-CN"/>
                      </w:rPr>
                      <w:t>14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4681220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8.6pt;margin-top:-0.75pt;height:144pt;width:144pt;mso-position-horizontal-relative:margin;mso-wrap-style:none;z-index:251662336;mso-width-relative:page;mso-height-relative:page;" filled="f" stroked="f" coordsize="21600,21600" o:gfxdata="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cFcSzYAAAACwEAAA8AAAAAAAAAAQAgAAAAIgAAAGRycy9kb3ducmV2Lnht&#10;bFBLAQIUABQAAAAIAIdO4kDhgNOO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u w:val="single"/>
        <w:lang w:val="en-US" w:eastAsia="zh-CN"/>
      </w:rPr>
      <w:t>华标检（2021）H第05142-1号</w:t>
    </w:r>
    <w:r>
      <w:rPr>
        <w:rFonts w:hint="eastAsia" w:eastAsia="宋体"/>
        <w:u w:val="single"/>
        <w:lang w:val="en-US" w:eastAsia="zh-CN"/>
      </w:rPr>
      <w:t xml:space="preserve">                                                                     </w:t>
    </w: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31968"/>
    <w:rsid w:val="00857DD6"/>
    <w:rsid w:val="00BD05D0"/>
    <w:rsid w:val="01D56402"/>
    <w:rsid w:val="05E91079"/>
    <w:rsid w:val="06FB0E87"/>
    <w:rsid w:val="08645C26"/>
    <w:rsid w:val="08A55B37"/>
    <w:rsid w:val="092119E3"/>
    <w:rsid w:val="09EB655F"/>
    <w:rsid w:val="0A11326D"/>
    <w:rsid w:val="0A9E6F47"/>
    <w:rsid w:val="0B825C15"/>
    <w:rsid w:val="0CDA7AB0"/>
    <w:rsid w:val="0EA86DFA"/>
    <w:rsid w:val="0F1A3B04"/>
    <w:rsid w:val="0F3A74B8"/>
    <w:rsid w:val="0FE715FE"/>
    <w:rsid w:val="107100C1"/>
    <w:rsid w:val="108C1626"/>
    <w:rsid w:val="110E2C46"/>
    <w:rsid w:val="12236264"/>
    <w:rsid w:val="13172FD0"/>
    <w:rsid w:val="135C7BAF"/>
    <w:rsid w:val="136B0FE0"/>
    <w:rsid w:val="19E6053F"/>
    <w:rsid w:val="1A41674D"/>
    <w:rsid w:val="1A4C4597"/>
    <w:rsid w:val="1B425FF0"/>
    <w:rsid w:val="1C2F117E"/>
    <w:rsid w:val="1D61728F"/>
    <w:rsid w:val="1EE764AB"/>
    <w:rsid w:val="1F2A42E3"/>
    <w:rsid w:val="1FB61C00"/>
    <w:rsid w:val="1FD8440E"/>
    <w:rsid w:val="219419E6"/>
    <w:rsid w:val="22BE1125"/>
    <w:rsid w:val="243C6976"/>
    <w:rsid w:val="25231968"/>
    <w:rsid w:val="265E544F"/>
    <w:rsid w:val="26851636"/>
    <w:rsid w:val="2860280D"/>
    <w:rsid w:val="2900288B"/>
    <w:rsid w:val="29A616E8"/>
    <w:rsid w:val="29D84E18"/>
    <w:rsid w:val="2AFC7122"/>
    <w:rsid w:val="2BF77141"/>
    <w:rsid w:val="2C363B21"/>
    <w:rsid w:val="2CD5611E"/>
    <w:rsid w:val="2FB46D7B"/>
    <w:rsid w:val="31A64E1E"/>
    <w:rsid w:val="31AB354B"/>
    <w:rsid w:val="33177F31"/>
    <w:rsid w:val="334C7326"/>
    <w:rsid w:val="36577EFA"/>
    <w:rsid w:val="36B21186"/>
    <w:rsid w:val="37284F29"/>
    <w:rsid w:val="373D4FFF"/>
    <w:rsid w:val="38377895"/>
    <w:rsid w:val="390E5155"/>
    <w:rsid w:val="39F16D26"/>
    <w:rsid w:val="3B735502"/>
    <w:rsid w:val="3BD12563"/>
    <w:rsid w:val="3C9B18BB"/>
    <w:rsid w:val="3DCA11A2"/>
    <w:rsid w:val="3E4C7A56"/>
    <w:rsid w:val="3EE844F3"/>
    <w:rsid w:val="3F681E49"/>
    <w:rsid w:val="403E09F9"/>
    <w:rsid w:val="406759AD"/>
    <w:rsid w:val="410B2A14"/>
    <w:rsid w:val="422C4956"/>
    <w:rsid w:val="450E1ECD"/>
    <w:rsid w:val="45185670"/>
    <w:rsid w:val="4549199A"/>
    <w:rsid w:val="46347178"/>
    <w:rsid w:val="472B52E9"/>
    <w:rsid w:val="47846401"/>
    <w:rsid w:val="4870122D"/>
    <w:rsid w:val="4ABA3B34"/>
    <w:rsid w:val="4B3C115D"/>
    <w:rsid w:val="4CD5188E"/>
    <w:rsid w:val="4D0C4A20"/>
    <w:rsid w:val="4D3A6B03"/>
    <w:rsid w:val="4F0542B9"/>
    <w:rsid w:val="4FE14FC6"/>
    <w:rsid w:val="50CB529F"/>
    <w:rsid w:val="50FE5C42"/>
    <w:rsid w:val="51B96258"/>
    <w:rsid w:val="523B771C"/>
    <w:rsid w:val="532215AC"/>
    <w:rsid w:val="5420598B"/>
    <w:rsid w:val="549759BE"/>
    <w:rsid w:val="54E43A41"/>
    <w:rsid w:val="557B098B"/>
    <w:rsid w:val="55BC43CA"/>
    <w:rsid w:val="56330345"/>
    <w:rsid w:val="56E24501"/>
    <w:rsid w:val="5700777E"/>
    <w:rsid w:val="575622CC"/>
    <w:rsid w:val="577306CE"/>
    <w:rsid w:val="599B141D"/>
    <w:rsid w:val="59D429E7"/>
    <w:rsid w:val="5B7F5E96"/>
    <w:rsid w:val="5B984811"/>
    <w:rsid w:val="5C303806"/>
    <w:rsid w:val="5C4B36FF"/>
    <w:rsid w:val="5D2C42C3"/>
    <w:rsid w:val="5D800CB0"/>
    <w:rsid w:val="5E98016B"/>
    <w:rsid w:val="5ECB5344"/>
    <w:rsid w:val="5FD87572"/>
    <w:rsid w:val="60C15031"/>
    <w:rsid w:val="615078F8"/>
    <w:rsid w:val="615C4715"/>
    <w:rsid w:val="61A24F21"/>
    <w:rsid w:val="63A27517"/>
    <w:rsid w:val="641B7224"/>
    <w:rsid w:val="64542EF2"/>
    <w:rsid w:val="655866A3"/>
    <w:rsid w:val="66F6769B"/>
    <w:rsid w:val="67015832"/>
    <w:rsid w:val="67CE6939"/>
    <w:rsid w:val="67F902B0"/>
    <w:rsid w:val="69282239"/>
    <w:rsid w:val="69CA737A"/>
    <w:rsid w:val="69D42DF6"/>
    <w:rsid w:val="69DD4DBB"/>
    <w:rsid w:val="6B405ECD"/>
    <w:rsid w:val="6BE3553C"/>
    <w:rsid w:val="6D423541"/>
    <w:rsid w:val="6D535020"/>
    <w:rsid w:val="6DDC1C47"/>
    <w:rsid w:val="6EFA6B4B"/>
    <w:rsid w:val="6FB40295"/>
    <w:rsid w:val="70E575C1"/>
    <w:rsid w:val="71D8763C"/>
    <w:rsid w:val="72430EF5"/>
    <w:rsid w:val="726B3112"/>
    <w:rsid w:val="734810B3"/>
    <w:rsid w:val="73B97537"/>
    <w:rsid w:val="74365A76"/>
    <w:rsid w:val="759F2679"/>
    <w:rsid w:val="76BD7A22"/>
    <w:rsid w:val="76E76162"/>
    <w:rsid w:val="77276353"/>
    <w:rsid w:val="77FF67D0"/>
    <w:rsid w:val="786A47C4"/>
    <w:rsid w:val="798F2326"/>
    <w:rsid w:val="79920E10"/>
    <w:rsid w:val="79F358C2"/>
    <w:rsid w:val="7AE02663"/>
    <w:rsid w:val="7B914408"/>
    <w:rsid w:val="7BB2669D"/>
    <w:rsid w:val="7CD253F4"/>
    <w:rsid w:val="7D41285B"/>
    <w:rsid w:val="7E08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hAnsi="Times New Roman" w:eastAsia="宋体"/>
      <w:kern w:val="2"/>
      <w:sz w:val="21"/>
      <w:szCs w:val="20"/>
    </w:rPr>
  </w:style>
  <w:style w:type="paragraph" w:customStyle="1" w:styleId="3">
    <w:name w:val="正文首行缩进2个字 Char"/>
    <w:basedOn w:val="1"/>
    <w:qFormat/>
    <w:uiPriority w:val="0"/>
    <w:pPr>
      <w:ind w:firstLine="480" w:firstLineChars="200"/>
    </w:pPr>
    <w:rPr>
      <w:rFonts w:eastAsia="楷体"/>
      <w:sz w:val="24"/>
      <w:szCs w:val="24"/>
    </w:rPr>
  </w:style>
  <w:style w:type="paragraph" w:styleId="4">
    <w:name w:val="Body Text Indent"/>
    <w:basedOn w:val="1"/>
    <w:qFormat/>
    <w:uiPriority w:val="0"/>
    <w:pPr>
      <w:numPr>
        <w:ilvl w:val="0"/>
        <w:numId w:val="0"/>
      </w:numPr>
      <w:ind w:firstLine="880" w:firstLineChars="200"/>
    </w:pPr>
    <w:rPr>
      <w:rFonts w:ascii="楷体_GB2312" w:eastAsia="楷体_GB2312"/>
      <w:sz w:val="44"/>
    </w:rPr>
  </w:style>
  <w:style w:type="paragraph" w:styleId="5">
    <w:name w:val="Plain Text"/>
    <w:basedOn w:val="1"/>
    <w:qFormat/>
    <w:uiPriority w:val="0"/>
    <w:rPr>
      <w:rFonts w:ascii="宋体" w:hAnsi="Courier New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正文开头二"/>
    <w:basedOn w:val="1"/>
    <w:qFormat/>
    <w:uiPriority w:val="0"/>
    <w:pPr>
      <w:autoSpaceDE w:val="0"/>
      <w:autoSpaceDN w:val="0"/>
      <w:adjustRightInd w:val="0"/>
      <w:spacing w:before="60" w:beforeLines="0" w:line="400" w:lineRule="atLeast"/>
      <w:textAlignment w:val="baseline"/>
    </w:pPr>
    <w:rPr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2018-09-25T00:42:00Z</dcterms:created>
  <dc:creator>J.S.coral</dc:creator>
  <cp:lastModifiedBy>张佳妮</cp:lastModifiedBy>
  <cp:lastPrinted>2021-05-20T09:30:00Z</cp:lastPrinted>
  <dcterms:modified xsi:type="dcterms:W3CDTF">2021-05-21T09:39:48Z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1B9E72ADE2894322BD42BC705030237C</vt:lpwstr>
  </property>
</Properties>
</file>